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860C" w14:textId="57EA08D4" w:rsidR="0067271E" w:rsidRPr="0067271E" w:rsidRDefault="0067271E" w:rsidP="0067271E">
      <w:pPr>
        <w:tabs>
          <w:tab w:val="left" w:pos="851"/>
        </w:tabs>
        <w:spacing w:after="0" w:line="240" w:lineRule="auto"/>
        <w:jc w:val="center"/>
        <w:rPr>
          <w:rFonts w:ascii="Times New Roman" w:eastAsia="Times New Roman" w:hAnsi="Times New Roman" w:cs="Times New Roman"/>
          <w:b/>
          <w:bCs/>
          <w:sz w:val="24"/>
          <w:szCs w:val="24"/>
        </w:rPr>
      </w:pPr>
      <w:r w:rsidRPr="0067271E">
        <w:rPr>
          <w:rFonts w:ascii="Times New Roman" w:eastAsia="Times New Roman" w:hAnsi="Times New Roman" w:cs="Times New Roman"/>
          <w:b/>
          <w:bCs/>
          <w:sz w:val="24"/>
          <w:szCs w:val="24"/>
        </w:rPr>
        <w:t>2</w:t>
      </w:r>
      <w:r w:rsidRPr="0067271E">
        <w:rPr>
          <w:rFonts w:ascii="Times New Roman" w:eastAsia="Times New Roman" w:hAnsi="Times New Roman" w:cs="Times New Roman"/>
          <w:b/>
          <w:bCs/>
          <w:sz w:val="24"/>
          <w:szCs w:val="24"/>
        </w:rPr>
        <w:t>022 m. ir 2023 m. pagrindinio ugdymo pasiekimų patikrinimo (PUPP) lyginamoji analizė</w:t>
      </w:r>
    </w:p>
    <w:p w14:paraId="3E18C929" w14:textId="77777777" w:rsidR="0067271E" w:rsidRDefault="0067271E" w:rsidP="0067271E">
      <w:pPr>
        <w:tabs>
          <w:tab w:val="left" w:pos="851"/>
        </w:tabs>
        <w:spacing w:after="0" w:line="240" w:lineRule="auto"/>
        <w:jc w:val="both"/>
        <w:rPr>
          <w:rFonts w:ascii="Times New Roman" w:eastAsia="Times New Roman" w:hAnsi="Times New Roman" w:cs="Times New Roman"/>
          <w:sz w:val="24"/>
          <w:szCs w:val="24"/>
        </w:rPr>
      </w:pP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3246"/>
        <w:gridCol w:w="2826"/>
        <w:gridCol w:w="2826"/>
        <w:gridCol w:w="2584"/>
      </w:tblGrid>
      <w:tr w:rsidR="0067271E" w14:paraId="250F4570" w14:textId="77777777" w:rsidTr="009C42C8">
        <w:tc>
          <w:tcPr>
            <w:tcW w:w="2405" w:type="dxa"/>
          </w:tcPr>
          <w:p w14:paraId="04235746"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Mokomasis dalykas</w:t>
            </w:r>
          </w:p>
        </w:tc>
        <w:tc>
          <w:tcPr>
            <w:tcW w:w="11482" w:type="dxa"/>
            <w:gridSpan w:val="4"/>
          </w:tcPr>
          <w:p w14:paraId="5AD7D4E5"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PUPP rezultatai pagal mokymosi pasiekimų lygius (proc.).</w:t>
            </w:r>
          </w:p>
        </w:tc>
      </w:tr>
      <w:tr w:rsidR="0067271E" w14:paraId="30E98E36" w14:textId="77777777" w:rsidTr="009C42C8">
        <w:tc>
          <w:tcPr>
            <w:tcW w:w="2405" w:type="dxa"/>
          </w:tcPr>
          <w:p w14:paraId="55E790E9"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 m.</w:t>
            </w:r>
          </w:p>
        </w:tc>
        <w:tc>
          <w:tcPr>
            <w:tcW w:w="3246" w:type="dxa"/>
          </w:tcPr>
          <w:p w14:paraId="2FAF0F77"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Nepasiekė patenkinamo lygio</w:t>
            </w:r>
          </w:p>
        </w:tc>
        <w:tc>
          <w:tcPr>
            <w:tcW w:w="2826" w:type="dxa"/>
          </w:tcPr>
          <w:p w14:paraId="69F11362"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Patenkinamas lygis</w:t>
            </w:r>
          </w:p>
        </w:tc>
        <w:tc>
          <w:tcPr>
            <w:tcW w:w="2826" w:type="dxa"/>
          </w:tcPr>
          <w:p w14:paraId="6081778F"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Pagrindinis lygis</w:t>
            </w:r>
          </w:p>
        </w:tc>
        <w:tc>
          <w:tcPr>
            <w:tcW w:w="2584" w:type="dxa"/>
          </w:tcPr>
          <w:p w14:paraId="61D4846F"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Aukštesnysis lygis</w:t>
            </w:r>
          </w:p>
        </w:tc>
      </w:tr>
      <w:tr w:rsidR="0067271E" w14:paraId="27141A49" w14:textId="77777777" w:rsidTr="009C42C8">
        <w:tc>
          <w:tcPr>
            <w:tcW w:w="2405" w:type="dxa"/>
          </w:tcPr>
          <w:p w14:paraId="0B017913"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Matematika</w:t>
            </w:r>
          </w:p>
        </w:tc>
        <w:tc>
          <w:tcPr>
            <w:tcW w:w="3246" w:type="dxa"/>
          </w:tcPr>
          <w:p w14:paraId="528E7E01"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(48,5 proc.)</w:t>
            </w:r>
          </w:p>
        </w:tc>
        <w:tc>
          <w:tcPr>
            <w:tcW w:w="2826" w:type="dxa"/>
          </w:tcPr>
          <w:p w14:paraId="3F84DDBB"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(36,3 proc.)</w:t>
            </w:r>
          </w:p>
        </w:tc>
        <w:tc>
          <w:tcPr>
            <w:tcW w:w="2826" w:type="dxa"/>
          </w:tcPr>
          <w:p w14:paraId="673B21F4"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(13,5 proc.)</w:t>
            </w:r>
          </w:p>
        </w:tc>
        <w:tc>
          <w:tcPr>
            <w:tcW w:w="2584" w:type="dxa"/>
          </w:tcPr>
          <w:p w14:paraId="6292715E"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(1,6 proc.)</w:t>
            </w:r>
          </w:p>
        </w:tc>
      </w:tr>
      <w:tr w:rsidR="0067271E" w14:paraId="4276C958" w14:textId="77777777" w:rsidTr="009C42C8">
        <w:tc>
          <w:tcPr>
            <w:tcW w:w="2405" w:type="dxa"/>
          </w:tcPr>
          <w:p w14:paraId="49413504"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kalba</w:t>
            </w:r>
          </w:p>
        </w:tc>
        <w:tc>
          <w:tcPr>
            <w:tcW w:w="3246" w:type="dxa"/>
          </w:tcPr>
          <w:p w14:paraId="659BB3C4"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(1,2 proc.)</w:t>
            </w:r>
          </w:p>
        </w:tc>
        <w:tc>
          <w:tcPr>
            <w:tcW w:w="2826" w:type="dxa"/>
          </w:tcPr>
          <w:p w14:paraId="214C53D3"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(23,4 proc.)</w:t>
            </w:r>
          </w:p>
        </w:tc>
        <w:tc>
          <w:tcPr>
            <w:tcW w:w="2826" w:type="dxa"/>
          </w:tcPr>
          <w:p w14:paraId="08389588"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(66 proc.)</w:t>
            </w:r>
          </w:p>
        </w:tc>
        <w:tc>
          <w:tcPr>
            <w:tcW w:w="2584" w:type="dxa"/>
          </w:tcPr>
          <w:p w14:paraId="7DCD27A4"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(9,4 proc.)</w:t>
            </w:r>
          </w:p>
        </w:tc>
      </w:tr>
    </w:tbl>
    <w:p w14:paraId="62171E17" w14:textId="77777777" w:rsidR="0067271E" w:rsidRDefault="0067271E" w:rsidP="0067271E">
      <w:pPr>
        <w:tabs>
          <w:tab w:val="left" w:pos="851"/>
        </w:tabs>
        <w:spacing w:after="0" w:line="240" w:lineRule="auto"/>
        <w:jc w:val="both"/>
        <w:rPr>
          <w:rFonts w:ascii="Times New Roman" w:eastAsia="Times New Roman" w:hAnsi="Times New Roman" w:cs="Times New Roman"/>
          <w:sz w:val="24"/>
          <w:szCs w:val="24"/>
        </w:rPr>
      </w:pP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3246"/>
        <w:gridCol w:w="2826"/>
        <w:gridCol w:w="2826"/>
        <w:gridCol w:w="2584"/>
      </w:tblGrid>
      <w:tr w:rsidR="0067271E" w14:paraId="4D9F2702" w14:textId="77777777" w:rsidTr="009C42C8">
        <w:tc>
          <w:tcPr>
            <w:tcW w:w="2405" w:type="dxa"/>
          </w:tcPr>
          <w:p w14:paraId="2BEA527D"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Mokomasis dalykas</w:t>
            </w:r>
          </w:p>
        </w:tc>
        <w:tc>
          <w:tcPr>
            <w:tcW w:w="11482" w:type="dxa"/>
            <w:gridSpan w:val="4"/>
          </w:tcPr>
          <w:p w14:paraId="576B6218"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PUPP rezultatai pagal mokymosi pasiekimų lygius (proc.).</w:t>
            </w:r>
          </w:p>
        </w:tc>
      </w:tr>
      <w:tr w:rsidR="0067271E" w14:paraId="21567308" w14:textId="77777777" w:rsidTr="009C42C8">
        <w:tc>
          <w:tcPr>
            <w:tcW w:w="2405" w:type="dxa"/>
          </w:tcPr>
          <w:p w14:paraId="6DA84DF7"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 m.</w:t>
            </w:r>
          </w:p>
        </w:tc>
        <w:tc>
          <w:tcPr>
            <w:tcW w:w="3246" w:type="dxa"/>
          </w:tcPr>
          <w:p w14:paraId="6CC3FF8E"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Nepasiekė patenkinamo lygio</w:t>
            </w:r>
          </w:p>
        </w:tc>
        <w:tc>
          <w:tcPr>
            <w:tcW w:w="2826" w:type="dxa"/>
          </w:tcPr>
          <w:p w14:paraId="362FCA1F"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Patenkinamas lygis</w:t>
            </w:r>
          </w:p>
        </w:tc>
        <w:tc>
          <w:tcPr>
            <w:tcW w:w="2826" w:type="dxa"/>
          </w:tcPr>
          <w:p w14:paraId="6269D184"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Pagrindinis lygis</w:t>
            </w:r>
          </w:p>
        </w:tc>
        <w:tc>
          <w:tcPr>
            <w:tcW w:w="2584" w:type="dxa"/>
          </w:tcPr>
          <w:p w14:paraId="10978F05"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Aukštesnysis lygis</w:t>
            </w:r>
          </w:p>
        </w:tc>
      </w:tr>
      <w:tr w:rsidR="0067271E" w14:paraId="451E9B5E" w14:textId="77777777" w:rsidTr="009C42C8">
        <w:tc>
          <w:tcPr>
            <w:tcW w:w="2405" w:type="dxa"/>
          </w:tcPr>
          <w:p w14:paraId="0C87C6F0"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Matematika</w:t>
            </w:r>
          </w:p>
        </w:tc>
        <w:tc>
          <w:tcPr>
            <w:tcW w:w="3246" w:type="dxa"/>
            <w:vAlign w:val="bottom"/>
          </w:tcPr>
          <w:p w14:paraId="4FE78E2C"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25 (18,7 proc.)</w:t>
            </w:r>
          </w:p>
        </w:tc>
        <w:tc>
          <w:tcPr>
            <w:tcW w:w="2826" w:type="dxa"/>
            <w:vAlign w:val="bottom"/>
          </w:tcPr>
          <w:p w14:paraId="0146158A"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45 (33,6 proc.)</w:t>
            </w:r>
          </w:p>
        </w:tc>
        <w:tc>
          <w:tcPr>
            <w:tcW w:w="2826" w:type="dxa"/>
            <w:vAlign w:val="bottom"/>
          </w:tcPr>
          <w:p w14:paraId="78B503A8"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55 (41 proc.)</w:t>
            </w:r>
          </w:p>
        </w:tc>
        <w:tc>
          <w:tcPr>
            <w:tcW w:w="2584" w:type="dxa"/>
            <w:vAlign w:val="bottom"/>
          </w:tcPr>
          <w:p w14:paraId="535A2A89"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 (6,7 proc.)</w:t>
            </w:r>
          </w:p>
        </w:tc>
      </w:tr>
      <w:tr w:rsidR="0067271E" w14:paraId="1A6E0546" w14:textId="77777777" w:rsidTr="009C42C8">
        <w:tc>
          <w:tcPr>
            <w:tcW w:w="2405" w:type="dxa"/>
          </w:tcPr>
          <w:p w14:paraId="423B3792"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kalba</w:t>
            </w:r>
          </w:p>
        </w:tc>
        <w:tc>
          <w:tcPr>
            <w:tcW w:w="3246" w:type="dxa"/>
            <w:vAlign w:val="bottom"/>
          </w:tcPr>
          <w:p w14:paraId="74CFAE62"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(1,5 proc.)</w:t>
            </w:r>
          </w:p>
        </w:tc>
        <w:tc>
          <w:tcPr>
            <w:tcW w:w="2826" w:type="dxa"/>
            <w:vAlign w:val="bottom"/>
          </w:tcPr>
          <w:p w14:paraId="5E61D757"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 (11,9 proc.)</w:t>
            </w:r>
          </w:p>
        </w:tc>
        <w:tc>
          <w:tcPr>
            <w:tcW w:w="2826" w:type="dxa"/>
            <w:vAlign w:val="bottom"/>
          </w:tcPr>
          <w:p w14:paraId="6A8F1A9E"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106 (79,1 proc.)</w:t>
            </w:r>
          </w:p>
        </w:tc>
        <w:tc>
          <w:tcPr>
            <w:tcW w:w="2584" w:type="dxa"/>
            <w:vAlign w:val="bottom"/>
          </w:tcPr>
          <w:p w14:paraId="0EFCFC76" w14:textId="77777777" w:rsidR="0067271E" w:rsidRDefault="0067271E" w:rsidP="009C42C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 (7,5 proc.)</w:t>
            </w:r>
          </w:p>
        </w:tc>
      </w:tr>
    </w:tbl>
    <w:p w14:paraId="7ABFE74B" w14:textId="09CD1012" w:rsidR="001E0646" w:rsidRDefault="0067271E" w:rsidP="0067271E">
      <w:pPr>
        <w:jc w:val="both"/>
      </w:pPr>
      <w:r>
        <w:rPr>
          <w:rFonts w:ascii="Times New Roman" w:eastAsia="Times New Roman" w:hAnsi="Times New Roman" w:cs="Times New Roman"/>
          <w:sz w:val="24"/>
          <w:szCs w:val="24"/>
        </w:rPr>
        <w:tab/>
        <w:t>2023 m. stebimas teigiamas matematikos PUPP pokytis: 29,8 proc. sumažėjo gimnazistų, nepasiekusių patenkinamo lygio; 2,7 proc. – patenkinamą lygį. 27,5 proc. padidėjo mokinių, pasiekusių pagrindinį lygį; 5,1 proc. – aukštesnįjį lygį. Lietuvių kalbos ir literatūros procentinis pokytis nėra didelis, tačiau 2023 m. 11,5 proc. sumažėjo mokinių, pasiekusių patenkinamą lygį, bei 13,1 proc. padidėjo mokinių, pasiekusių pagrindinį lygį. Dalykų mokytojai metodinėse grupėse kasmet aptaria, išanalizuoja PUPP rezultatus, juos lėmusius veiksnius, priežastis ir pateikia rekomendacijas dėl galimų priemonių taikymo ugdymo procese rezultatams gerinti.</w:t>
      </w:r>
    </w:p>
    <w:sectPr w:rsidR="001E0646" w:rsidSect="001A1CB1">
      <w:pgSz w:w="15840" w:h="12240" w:orient="landscape"/>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1E"/>
    <w:rsid w:val="001A1CB1"/>
    <w:rsid w:val="001E0646"/>
    <w:rsid w:val="0067271E"/>
    <w:rsid w:val="00C42D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46F0"/>
  <w15:chartTrackingRefBased/>
  <w15:docId w15:val="{C1814699-93DF-4F48-B6BE-B3C52243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271E"/>
    <w:rPr>
      <w:rFonts w:ascii="Calibri" w:eastAsia="Calibri" w:hAnsi="Calibri" w:cs="Calibri"/>
      <w:kern w:val="0"/>
      <w:lang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872</Words>
  <Characters>498</Characters>
  <Application>Microsoft Office Word</Application>
  <DocSecurity>0</DocSecurity>
  <Lines>4</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dc:creator>
  <cp:keywords/>
  <dc:description/>
  <cp:lastModifiedBy>211</cp:lastModifiedBy>
  <cp:revision>1</cp:revision>
  <dcterms:created xsi:type="dcterms:W3CDTF">2024-01-24T00:25:00Z</dcterms:created>
  <dcterms:modified xsi:type="dcterms:W3CDTF">2024-01-24T00:27:00Z</dcterms:modified>
</cp:coreProperties>
</file>