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860C" w14:textId="1B6BDBF3" w:rsidR="0067271E" w:rsidRPr="0067271E" w:rsidRDefault="0067271E" w:rsidP="0067271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71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4B427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72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 ir 202</w:t>
      </w:r>
      <w:r w:rsidR="004B427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72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 pagrindinio ugdymo pasiekimų patikrinimo (PUPP) lyginamoji analizė</w:t>
      </w:r>
    </w:p>
    <w:p w14:paraId="3E18C929" w14:textId="77777777" w:rsidR="0067271E" w:rsidRDefault="0067271E" w:rsidP="006727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2268"/>
        <w:gridCol w:w="2268"/>
        <w:gridCol w:w="2551"/>
      </w:tblGrid>
      <w:tr w:rsidR="004B427C" w:rsidRPr="00D83428" w14:paraId="765860CE" w14:textId="77777777" w:rsidTr="004B427C">
        <w:tc>
          <w:tcPr>
            <w:tcW w:w="2263" w:type="dxa"/>
          </w:tcPr>
          <w:p w14:paraId="08E7CC24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sz w:val="24"/>
                <w:szCs w:val="24"/>
              </w:rPr>
              <w:t>Mokomasis dalykas</w:t>
            </w:r>
          </w:p>
        </w:tc>
        <w:tc>
          <w:tcPr>
            <w:tcW w:w="10206" w:type="dxa"/>
            <w:gridSpan w:val="4"/>
          </w:tcPr>
          <w:p w14:paraId="3F8F450A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sz w:val="24"/>
                <w:szCs w:val="24"/>
              </w:rPr>
              <w:t>PUPP rezultatai pagal mokymosi pasiekimų lygius (proc.).</w:t>
            </w:r>
          </w:p>
        </w:tc>
      </w:tr>
      <w:tr w:rsidR="004B427C" w:rsidRPr="00D83428" w14:paraId="4F03A160" w14:textId="77777777" w:rsidTr="004B427C">
        <w:trPr>
          <w:trHeight w:val="352"/>
        </w:trPr>
        <w:tc>
          <w:tcPr>
            <w:tcW w:w="2263" w:type="dxa"/>
          </w:tcPr>
          <w:p w14:paraId="3786A650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sz w:val="24"/>
                <w:szCs w:val="24"/>
              </w:rPr>
              <w:t>2023 m.</w:t>
            </w:r>
          </w:p>
        </w:tc>
        <w:tc>
          <w:tcPr>
            <w:tcW w:w="3119" w:type="dxa"/>
          </w:tcPr>
          <w:p w14:paraId="43A71F0F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sz w:val="24"/>
                <w:szCs w:val="24"/>
              </w:rPr>
              <w:t>Nepasiekė patenkinamo lygio</w:t>
            </w:r>
          </w:p>
        </w:tc>
        <w:tc>
          <w:tcPr>
            <w:tcW w:w="2268" w:type="dxa"/>
          </w:tcPr>
          <w:p w14:paraId="7D5F4DAC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sz w:val="24"/>
                <w:szCs w:val="24"/>
              </w:rPr>
              <w:t>Patenkinamas lygis</w:t>
            </w:r>
          </w:p>
        </w:tc>
        <w:tc>
          <w:tcPr>
            <w:tcW w:w="2268" w:type="dxa"/>
          </w:tcPr>
          <w:p w14:paraId="4C33CDC6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sz w:val="24"/>
                <w:szCs w:val="24"/>
              </w:rPr>
              <w:t>Pagrindinis lygis</w:t>
            </w:r>
          </w:p>
        </w:tc>
        <w:tc>
          <w:tcPr>
            <w:tcW w:w="2551" w:type="dxa"/>
          </w:tcPr>
          <w:p w14:paraId="7A69FC5E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sz w:val="24"/>
                <w:szCs w:val="24"/>
              </w:rPr>
              <w:t>Aukštesnysis lygis</w:t>
            </w:r>
          </w:p>
        </w:tc>
      </w:tr>
      <w:tr w:rsidR="004B427C" w:rsidRPr="00D83428" w14:paraId="3897C6D7" w14:textId="77777777" w:rsidTr="004B427C">
        <w:tc>
          <w:tcPr>
            <w:tcW w:w="2263" w:type="dxa"/>
          </w:tcPr>
          <w:p w14:paraId="5952CA32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119" w:type="dxa"/>
            <w:vAlign w:val="bottom"/>
          </w:tcPr>
          <w:p w14:paraId="5823D6B3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(18,7 proc.)</w:t>
            </w:r>
          </w:p>
        </w:tc>
        <w:tc>
          <w:tcPr>
            <w:tcW w:w="2268" w:type="dxa"/>
            <w:vAlign w:val="bottom"/>
          </w:tcPr>
          <w:p w14:paraId="71F07880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(33,6 proc.)</w:t>
            </w:r>
          </w:p>
        </w:tc>
        <w:tc>
          <w:tcPr>
            <w:tcW w:w="2268" w:type="dxa"/>
            <w:vAlign w:val="bottom"/>
          </w:tcPr>
          <w:p w14:paraId="314BC0C9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(41 proc.)</w:t>
            </w:r>
          </w:p>
        </w:tc>
        <w:tc>
          <w:tcPr>
            <w:tcW w:w="2551" w:type="dxa"/>
            <w:vAlign w:val="bottom"/>
          </w:tcPr>
          <w:p w14:paraId="422FA348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(6,7 proc.)</w:t>
            </w:r>
          </w:p>
        </w:tc>
      </w:tr>
      <w:tr w:rsidR="004B427C" w:rsidRPr="00D83428" w14:paraId="3A43B19A" w14:textId="77777777" w:rsidTr="004B427C">
        <w:tc>
          <w:tcPr>
            <w:tcW w:w="2263" w:type="dxa"/>
          </w:tcPr>
          <w:p w14:paraId="31B3FD19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3119" w:type="dxa"/>
            <w:vAlign w:val="bottom"/>
          </w:tcPr>
          <w:p w14:paraId="61017D80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(1,5 proc.)</w:t>
            </w:r>
          </w:p>
        </w:tc>
        <w:tc>
          <w:tcPr>
            <w:tcW w:w="2268" w:type="dxa"/>
            <w:vAlign w:val="bottom"/>
          </w:tcPr>
          <w:p w14:paraId="1138740A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(11,9 proc.)</w:t>
            </w:r>
          </w:p>
        </w:tc>
        <w:tc>
          <w:tcPr>
            <w:tcW w:w="2268" w:type="dxa"/>
            <w:vAlign w:val="bottom"/>
          </w:tcPr>
          <w:p w14:paraId="3DC8639F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(79,1 proc.)</w:t>
            </w:r>
          </w:p>
        </w:tc>
        <w:tc>
          <w:tcPr>
            <w:tcW w:w="2551" w:type="dxa"/>
            <w:vAlign w:val="bottom"/>
          </w:tcPr>
          <w:p w14:paraId="4BA2A93F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(7,5 proc.)</w:t>
            </w:r>
          </w:p>
        </w:tc>
      </w:tr>
    </w:tbl>
    <w:p w14:paraId="52012102" w14:textId="77777777" w:rsidR="004B427C" w:rsidRDefault="004B427C" w:rsidP="004B42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5C2F2F" w14:textId="77777777" w:rsidR="004B427C" w:rsidRDefault="004B427C" w:rsidP="004B42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B8ACF4D" w14:textId="77777777" w:rsidR="004B427C" w:rsidRDefault="004B427C" w:rsidP="004B42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2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60"/>
        <w:gridCol w:w="2268"/>
        <w:gridCol w:w="2268"/>
        <w:gridCol w:w="2551"/>
      </w:tblGrid>
      <w:tr w:rsidR="004B427C" w:rsidRPr="00D83428" w14:paraId="63DF1545" w14:textId="77777777" w:rsidTr="004B427C">
        <w:tc>
          <w:tcPr>
            <w:tcW w:w="2122" w:type="dxa"/>
          </w:tcPr>
          <w:p w14:paraId="573FA3C6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sz w:val="24"/>
                <w:szCs w:val="24"/>
              </w:rPr>
              <w:t>Mokomasis dalykas</w:t>
            </w:r>
          </w:p>
        </w:tc>
        <w:tc>
          <w:tcPr>
            <w:tcW w:w="10347" w:type="dxa"/>
            <w:gridSpan w:val="4"/>
          </w:tcPr>
          <w:p w14:paraId="3F7AC4DC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sz w:val="24"/>
                <w:szCs w:val="24"/>
              </w:rPr>
              <w:t>PUPP rezultatai pagal mokymosi pasiekimų lygius (proc.).</w:t>
            </w:r>
          </w:p>
        </w:tc>
      </w:tr>
      <w:tr w:rsidR="004B427C" w:rsidRPr="00D83428" w14:paraId="3E2ED345" w14:textId="77777777" w:rsidTr="004B427C">
        <w:tc>
          <w:tcPr>
            <w:tcW w:w="2122" w:type="dxa"/>
          </w:tcPr>
          <w:p w14:paraId="003FE0BF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sz w:val="24"/>
                <w:szCs w:val="24"/>
              </w:rPr>
              <w:t>2024 m.</w:t>
            </w:r>
          </w:p>
        </w:tc>
        <w:tc>
          <w:tcPr>
            <w:tcW w:w="3260" w:type="dxa"/>
          </w:tcPr>
          <w:p w14:paraId="2D9DA959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sz w:val="24"/>
                <w:szCs w:val="24"/>
              </w:rPr>
              <w:t>Nepasiekė patenkinamo lygio</w:t>
            </w:r>
          </w:p>
        </w:tc>
        <w:tc>
          <w:tcPr>
            <w:tcW w:w="2268" w:type="dxa"/>
          </w:tcPr>
          <w:p w14:paraId="14768A63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sz w:val="24"/>
                <w:szCs w:val="24"/>
              </w:rPr>
              <w:t>Patenkinamas lygis</w:t>
            </w:r>
          </w:p>
        </w:tc>
        <w:tc>
          <w:tcPr>
            <w:tcW w:w="2268" w:type="dxa"/>
          </w:tcPr>
          <w:p w14:paraId="22A7ABAB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sz w:val="24"/>
                <w:szCs w:val="24"/>
              </w:rPr>
              <w:t>Pagrindinis lygis</w:t>
            </w:r>
          </w:p>
        </w:tc>
        <w:tc>
          <w:tcPr>
            <w:tcW w:w="2551" w:type="dxa"/>
          </w:tcPr>
          <w:p w14:paraId="15717F56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sz w:val="24"/>
                <w:szCs w:val="24"/>
              </w:rPr>
              <w:t>Aukštesnysis lygis</w:t>
            </w:r>
          </w:p>
        </w:tc>
      </w:tr>
      <w:tr w:rsidR="004B427C" w:rsidRPr="00D83428" w14:paraId="44849FE2" w14:textId="77777777" w:rsidTr="004B427C">
        <w:tc>
          <w:tcPr>
            <w:tcW w:w="2122" w:type="dxa"/>
          </w:tcPr>
          <w:p w14:paraId="256BCD6B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260" w:type="dxa"/>
            <w:vAlign w:val="bottom"/>
          </w:tcPr>
          <w:p w14:paraId="33B4430F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(33 proc.)</w:t>
            </w:r>
          </w:p>
        </w:tc>
        <w:tc>
          <w:tcPr>
            <w:tcW w:w="2268" w:type="dxa"/>
            <w:vAlign w:val="bottom"/>
          </w:tcPr>
          <w:p w14:paraId="257D7157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(25,9 proc.)</w:t>
            </w:r>
          </w:p>
        </w:tc>
        <w:tc>
          <w:tcPr>
            <w:tcW w:w="2268" w:type="dxa"/>
            <w:vAlign w:val="bottom"/>
          </w:tcPr>
          <w:p w14:paraId="5871D6BE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(32,1 proc.)</w:t>
            </w:r>
          </w:p>
        </w:tc>
        <w:tc>
          <w:tcPr>
            <w:tcW w:w="2551" w:type="dxa"/>
            <w:vAlign w:val="bottom"/>
          </w:tcPr>
          <w:p w14:paraId="22482372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(8,9 proc.)</w:t>
            </w:r>
          </w:p>
        </w:tc>
      </w:tr>
      <w:tr w:rsidR="004B427C" w:rsidRPr="00D83428" w14:paraId="71BD4776" w14:textId="77777777" w:rsidTr="004B427C">
        <w:tc>
          <w:tcPr>
            <w:tcW w:w="2122" w:type="dxa"/>
          </w:tcPr>
          <w:p w14:paraId="2EF68847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3260" w:type="dxa"/>
            <w:vAlign w:val="bottom"/>
          </w:tcPr>
          <w:p w14:paraId="42D6EA34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(2,7 proc.)</w:t>
            </w:r>
          </w:p>
        </w:tc>
        <w:tc>
          <w:tcPr>
            <w:tcW w:w="2268" w:type="dxa"/>
            <w:vAlign w:val="bottom"/>
          </w:tcPr>
          <w:p w14:paraId="49E3A1A2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(19,6 proc.)</w:t>
            </w:r>
          </w:p>
        </w:tc>
        <w:tc>
          <w:tcPr>
            <w:tcW w:w="2268" w:type="dxa"/>
            <w:vAlign w:val="bottom"/>
          </w:tcPr>
          <w:p w14:paraId="3CBCAE66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(62,5 proc.)</w:t>
            </w:r>
          </w:p>
        </w:tc>
        <w:tc>
          <w:tcPr>
            <w:tcW w:w="2551" w:type="dxa"/>
            <w:vAlign w:val="bottom"/>
          </w:tcPr>
          <w:p w14:paraId="2D7B6422" w14:textId="77777777" w:rsidR="004B427C" w:rsidRPr="00D83428" w:rsidRDefault="004B427C" w:rsidP="00E154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(15,2 proc.)</w:t>
            </w:r>
          </w:p>
        </w:tc>
      </w:tr>
    </w:tbl>
    <w:p w14:paraId="056B7547" w14:textId="77777777" w:rsidR="004B427C" w:rsidRDefault="004B427C" w:rsidP="004B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67EDE91" w14:textId="77777777" w:rsidR="004B427C" w:rsidRDefault="004B427C" w:rsidP="004B42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Remiantis statistiniais duomenimis, matematikos pagrindinio ugdymo pasiekimų patikrinimo (PUPP) apibendrinti rezultatai: 2024 m. nepasiekė patenkinamo lygio 14,3 proc. daugiau mokinių, nei 2023 m.; 7,7 proc. sumažėjo mokinių, pasiekusių patenkinamą lygį; 8,9 proc. sumažėjo mokinių, pasiekusių pagrindinį lygį; 2024 m. 2,2 proc. padidėjo mokinių, pasiekusių aukštesnįjį lygį. Lietuvių kalbos PUPP apibendrinti rezultatai: 2024 m. nepasiekė patenkinamo lygio 1,2 proc. daugiau mokinių, nei 2023 m.; 7,7 sumažėjo mokinių, pasiekusių patenkinamą lygį; 16,6 proc. sumažėjo mokinių, pasiekusių pagrindinį lygį. 7,7 proc. išaugo mokinių, pasiekusių aukštesnįjį lygį. Mokiniams,  nepasiekusiems patenkinamo PUPP lygio, skirtos privalomos dalykų  konsultacijos. Metodinėse grupėse aptartos mokymo(si) individualizavimo bei diferencijavimo stiprinimo galimybės.</w:t>
      </w:r>
    </w:p>
    <w:p w14:paraId="7ABFE74B" w14:textId="6F6821DB" w:rsidR="001E0646" w:rsidRDefault="001E0646" w:rsidP="0067271E">
      <w:pPr>
        <w:jc w:val="both"/>
      </w:pPr>
    </w:p>
    <w:sectPr w:rsidR="001E0646" w:rsidSect="001A1CB1">
      <w:pgSz w:w="15840" w:h="12240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1E"/>
    <w:rsid w:val="001A1CB1"/>
    <w:rsid w:val="001E0646"/>
    <w:rsid w:val="004B427C"/>
    <w:rsid w:val="0067271E"/>
    <w:rsid w:val="009B57A7"/>
    <w:rsid w:val="00C4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46F0"/>
  <w15:chartTrackingRefBased/>
  <w15:docId w15:val="{C1814699-93DF-4F48-B6BE-B3C52243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7271E"/>
    <w:rPr>
      <w:rFonts w:ascii="Calibri" w:eastAsia="Calibri" w:hAnsi="Calibri" w:cs="Calibri"/>
      <w:kern w:val="0"/>
      <w:lang w:eastAsia="de-D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1009</Words>
  <Characters>576</Characters>
  <Application>Microsoft Office Word</Application>
  <DocSecurity>0</DocSecurity>
  <Lines>4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KRISTINA ČEPUKĖNĖ</cp:lastModifiedBy>
  <cp:revision>2</cp:revision>
  <dcterms:created xsi:type="dcterms:W3CDTF">2024-01-24T00:25:00Z</dcterms:created>
  <dcterms:modified xsi:type="dcterms:W3CDTF">2025-02-04T17:01:00Z</dcterms:modified>
</cp:coreProperties>
</file>